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34" w:rsidRDefault="007D6334" w:rsidP="00A9594D">
      <w:pPr>
        <w:bidi/>
        <w:rPr>
          <w:b/>
          <w:bCs/>
          <w:rtl/>
          <w:lang w:bidi="ar-EG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0</wp:posOffset>
            </wp:positionV>
            <wp:extent cx="1297940" cy="763905"/>
            <wp:effectExtent l="19050" t="0" r="0" b="0"/>
            <wp:wrapNone/>
            <wp:docPr id="2" name="Picture 2" descr="-2_1_~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Placeholder 4" descr="-2_1_~1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 t="1087" b="1087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334">
        <w:rPr>
          <w:b/>
          <w:bCs/>
          <w:noProof/>
          <w:rtl/>
        </w:rPr>
        <w:drawing>
          <wp:inline distT="0" distB="0" distL="0" distR="0">
            <wp:extent cx="1295400" cy="685800"/>
            <wp:effectExtent l="19050" t="0" r="0" b="0"/>
            <wp:docPr id="1" name="Picture 1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ages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34" w:rsidRPr="00A9594D" w:rsidRDefault="007D6334" w:rsidP="007D6334">
      <w:pPr>
        <w:bidi/>
        <w:spacing w:line="240" w:lineRule="auto"/>
        <w:ind w:left="72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9594D">
        <w:rPr>
          <w:b/>
          <w:bCs/>
          <w:sz w:val="32"/>
          <w:szCs w:val="32"/>
          <w:u w:val="single"/>
          <w:rtl/>
          <w:lang w:bidi="ar-EG"/>
        </w:rPr>
        <w:t xml:space="preserve">الشروط الواجب توافرها </w:t>
      </w:r>
    </w:p>
    <w:p w:rsidR="007D6334" w:rsidRPr="00A9594D" w:rsidRDefault="007D6334" w:rsidP="00A9594D">
      <w:pPr>
        <w:bidi/>
        <w:spacing w:line="240" w:lineRule="auto"/>
        <w:ind w:left="720"/>
        <w:jc w:val="center"/>
        <w:rPr>
          <w:sz w:val="32"/>
          <w:szCs w:val="32"/>
          <w:u w:val="single"/>
        </w:rPr>
      </w:pPr>
      <w:r w:rsidRPr="00A9594D">
        <w:rPr>
          <w:b/>
          <w:bCs/>
          <w:sz w:val="32"/>
          <w:szCs w:val="32"/>
          <w:u w:val="single"/>
          <w:rtl/>
          <w:lang w:bidi="ar-EG"/>
        </w:rPr>
        <w:t xml:space="preserve">في محطات فرز وتعبئة البطاطس </w:t>
      </w:r>
      <w:r w:rsidRPr="00A9594D">
        <w:rPr>
          <w:rFonts w:hint="cs"/>
          <w:b/>
          <w:bCs/>
          <w:sz w:val="32"/>
          <w:szCs w:val="32"/>
          <w:u w:val="single"/>
          <w:rtl/>
          <w:lang w:bidi="ar-EG"/>
        </w:rPr>
        <w:t>إلي</w:t>
      </w:r>
      <w:r w:rsidRPr="00A9594D">
        <w:rPr>
          <w:b/>
          <w:bCs/>
          <w:sz w:val="32"/>
          <w:szCs w:val="32"/>
          <w:u w:val="single"/>
          <w:rtl/>
          <w:lang w:bidi="ar-EG"/>
        </w:rPr>
        <w:t xml:space="preserve"> دول الإتحاد الأوربي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أن تكون المحطة حاصلة علي ترخيص من الجهات المختصة ولا تكون مخالفة لقانون حماية الأراضي.</w:t>
      </w:r>
      <w:r w:rsidRPr="007D6334">
        <w:rPr>
          <w:b/>
          <w:bCs/>
        </w:rPr>
        <w:t xml:space="preserve"> 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proofErr w:type="gramStart"/>
      <w:r w:rsidRPr="007D6334">
        <w:rPr>
          <w:b/>
          <w:bCs/>
          <w:rtl/>
          <w:lang w:bidi="ar-EG"/>
        </w:rPr>
        <w:t>لا</w:t>
      </w:r>
      <w:proofErr w:type="gramEnd"/>
      <w:r w:rsidR="00CA6981">
        <w:rPr>
          <w:rFonts w:hint="cs"/>
          <w:b/>
          <w:bCs/>
          <w:rtl/>
          <w:lang w:bidi="ar-EG"/>
        </w:rPr>
        <w:t xml:space="preserve"> </w:t>
      </w:r>
      <w:r w:rsidRPr="007D6334">
        <w:rPr>
          <w:b/>
          <w:bCs/>
          <w:rtl/>
          <w:lang w:bidi="ar-EG"/>
        </w:rPr>
        <w:t xml:space="preserve">تقل مساحة المحطة الكلية عن ثماني ألاف متر مربع وتكون مرصوفة أو مبلطة ويحيط </w:t>
      </w:r>
      <w:proofErr w:type="spellStart"/>
      <w:r w:rsidRPr="007D6334">
        <w:rPr>
          <w:b/>
          <w:bCs/>
          <w:rtl/>
          <w:lang w:bidi="ar-EG"/>
        </w:rPr>
        <w:t>بها</w:t>
      </w:r>
      <w:proofErr w:type="spellEnd"/>
      <w:r w:rsidRPr="007D6334">
        <w:rPr>
          <w:b/>
          <w:bCs/>
          <w:rtl/>
          <w:lang w:bidi="ar-EG"/>
        </w:rPr>
        <w:t xml:space="preserve"> سور من الأربع جهات ولها منفذ محكم للدخول والخروج يمكن التحكم فيه لدخول خام البطاطس وخروج الصادر.</w:t>
      </w:r>
      <w:r w:rsidRPr="007D6334">
        <w:rPr>
          <w:b/>
          <w:bCs/>
        </w:rPr>
        <w:t xml:space="preserve"> 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أن يكون بالمحطة مصدر مياه نقي ووسيلة صرف مناسبة، علي أن يراعي الأتي:</w:t>
      </w:r>
      <w:r w:rsidRPr="007D6334">
        <w:rPr>
          <w:b/>
          <w:bCs/>
        </w:rPr>
        <w:t xml:space="preserve"> </w:t>
      </w:r>
    </w:p>
    <w:p w:rsidR="000158D8" w:rsidRPr="007D6334" w:rsidRDefault="007D6334" w:rsidP="00A9594D">
      <w:pPr>
        <w:numPr>
          <w:ilvl w:val="1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إذا كان مصدر المياه بالمحطة </w:t>
      </w:r>
      <w:proofErr w:type="gramStart"/>
      <w:r w:rsidRPr="007D6334">
        <w:rPr>
          <w:b/>
          <w:bCs/>
          <w:rtl/>
          <w:lang w:bidi="ar-EG"/>
        </w:rPr>
        <w:t>مياه</w:t>
      </w:r>
      <w:proofErr w:type="gramEnd"/>
      <w:r w:rsidRPr="007D6334">
        <w:rPr>
          <w:b/>
          <w:bCs/>
          <w:rtl/>
          <w:lang w:bidi="ar-EG"/>
        </w:rPr>
        <w:t xml:space="preserve"> بلدية يجب تقديم الأوراق الرسمية التي تثبت ذلك.</w:t>
      </w:r>
      <w:r w:rsidRPr="007D6334">
        <w:rPr>
          <w:b/>
          <w:bCs/>
        </w:rPr>
        <w:t xml:space="preserve"> </w:t>
      </w:r>
    </w:p>
    <w:p w:rsidR="000158D8" w:rsidRPr="007D6334" w:rsidRDefault="007D6334" w:rsidP="00A9594D">
      <w:pPr>
        <w:numPr>
          <w:ilvl w:val="1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إذا كان مصدر المياه بالمحطة مياه أبار يجب أن يتم عمل تحليل مياه في أحد المعامل المعتمدة من وزارة الزراعة وإستصلاح الأراضي تثبت صلاحية المياه.</w:t>
      </w:r>
      <w:r w:rsidRPr="007D6334">
        <w:rPr>
          <w:b/>
          <w:bCs/>
        </w:rPr>
        <w:t xml:space="preserve"> 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أن يتوافر بالمحطة أماكن لتخزين البطاطس الخام ويشترط فيها الأتي:</w:t>
      </w:r>
    </w:p>
    <w:p w:rsidR="000158D8" w:rsidRPr="007D6334" w:rsidRDefault="007D6334" w:rsidP="00A9594D">
      <w:pPr>
        <w:numPr>
          <w:ilvl w:val="1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أن تكون ذات طاقة تخزينية مناسبة.</w:t>
      </w:r>
    </w:p>
    <w:p w:rsidR="000158D8" w:rsidRPr="007D6334" w:rsidRDefault="007D6334" w:rsidP="00A9594D">
      <w:pPr>
        <w:numPr>
          <w:ilvl w:val="1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أن تكون الأرضية مبلطة أو </w:t>
      </w:r>
      <w:proofErr w:type="spellStart"/>
      <w:r w:rsidRPr="007D6334">
        <w:rPr>
          <w:b/>
          <w:bCs/>
          <w:rtl/>
          <w:lang w:bidi="ar-EG"/>
        </w:rPr>
        <w:t>خرسانية</w:t>
      </w:r>
      <w:proofErr w:type="spellEnd"/>
      <w:r w:rsidRPr="007D6334">
        <w:rPr>
          <w:b/>
          <w:bCs/>
          <w:rtl/>
          <w:lang w:bidi="ar-EG"/>
        </w:rPr>
        <w:t xml:space="preserve"> أو أسفلت أو </w:t>
      </w:r>
      <w:proofErr w:type="gramStart"/>
      <w:r w:rsidRPr="007D6334">
        <w:rPr>
          <w:b/>
          <w:bCs/>
          <w:rtl/>
          <w:lang w:bidi="ar-EG"/>
        </w:rPr>
        <w:t xml:space="preserve">مرصوفة  </w:t>
      </w:r>
      <w:proofErr w:type="spellStart"/>
      <w:r w:rsidRPr="007D6334">
        <w:rPr>
          <w:b/>
          <w:bCs/>
          <w:rtl/>
          <w:lang w:bidi="ar-EG"/>
        </w:rPr>
        <w:t>وبها</w:t>
      </w:r>
      <w:proofErr w:type="spellEnd"/>
      <w:proofErr w:type="gramEnd"/>
      <w:r w:rsidRPr="007D6334">
        <w:rPr>
          <w:b/>
          <w:bCs/>
          <w:rtl/>
          <w:lang w:bidi="ar-EG"/>
        </w:rPr>
        <w:t xml:space="preserve"> مظلات يتوافر </w:t>
      </w:r>
      <w:proofErr w:type="spellStart"/>
      <w:r w:rsidRPr="007D6334">
        <w:rPr>
          <w:b/>
          <w:bCs/>
          <w:rtl/>
          <w:lang w:bidi="ar-EG"/>
        </w:rPr>
        <w:t>بها</w:t>
      </w:r>
      <w:proofErr w:type="spellEnd"/>
      <w:r w:rsidRPr="007D6334">
        <w:rPr>
          <w:b/>
          <w:bCs/>
          <w:rtl/>
          <w:lang w:bidi="ar-EG"/>
        </w:rPr>
        <w:t xml:space="preserve"> الشروط الفنية للتخزين.</w:t>
      </w:r>
    </w:p>
    <w:p w:rsidR="000158D8" w:rsidRPr="007D6334" w:rsidRDefault="007D6334" w:rsidP="00A9594D">
      <w:pPr>
        <w:numPr>
          <w:ilvl w:val="1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تكون في أماكن منعزلة عن المخازن الأخرى. 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يجب أن تكون مخازن مستلزمات التشغيل </w:t>
      </w:r>
      <w:proofErr w:type="gramStart"/>
      <w:r w:rsidRPr="007D6334">
        <w:rPr>
          <w:b/>
          <w:bCs/>
          <w:rtl/>
          <w:lang w:bidi="ar-EG"/>
        </w:rPr>
        <w:t>منفصلة</w:t>
      </w:r>
      <w:proofErr w:type="gramEnd"/>
      <w:r w:rsidRPr="007D6334">
        <w:rPr>
          <w:b/>
          <w:bCs/>
          <w:rtl/>
          <w:lang w:bidi="ar-EG"/>
        </w:rPr>
        <w:t xml:space="preserve"> عن مخازن الصادر والخام.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أماكن تجهيز </w:t>
      </w:r>
      <w:proofErr w:type="spellStart"/>
      <w:r w:rsidRPr="007D6334">
        <w:rPr>
          <w:b/>
          <w:bCs/>
          <w:rtl/>
          <w:lang w:bidi="ar-EG"/>
        </w:rPr>
        <w:t>البيتموس</w:t>
      </w:r>
      <w:proofErr w:type="spellEnd"/>
      <w:r w:rsidRPr="007D6334">
        <w:rPr>
          <w:b/>
          <w:bCs/>
          <w:rtl/>
          <w:lang w:bidi="ar-EG"/>
        </w:rPr>
        <w:t xml:space="preserve"> ذات أرضية ملساء ( غير ترابية ) مبلطة أو مرصوفة وغير منفذة ويسهل تنظيفها وتطهيرها وتتناسب مع الطاقة الإنتاجية للمحطة ويكون لها مصدر مياه نقي.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يجب أن تتوافر في المحطة الطاقة الكهربائية اللازمة للتشغيل والإنارة الكافية لعمليات الفرز والتعبئة </w:t>
      </w:r>
      <w:proofErr w:type="gramStart"/>
      <w:r w:rsidRPr="007D6334">
        <w:rPr>
          <w:b/>
          <w:bCs/>
          <w:rtl/>
          <w:lang w:bidi="ar-EG"/>
        </w:rPr>
        <w:t>والفحص</w:t>
      </w:r>
      <w:proofErr w:type="gramEnd"/>
      <w:r w:rsidRPr="007D6334">
        <w:rPr>
          <w:b/>
          <w:bCs/>
          <w:rtl/>
          <w:lang w:bidi="ar-EG"/>
        </w:rPr>
        <w:t>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proofErr w:type="gramStart"/>
      <w:r w:rsidRPr="007D6334">
        <w:rPr>
          <w:b/>
          <w:bCs/>
          <w:rtl/>
          <w:lang w:bidi="ar-EG"/>
        </w:rPr>
        <w:t>يجب</w:t>
      </w:r>
      <w:proofErr w:type="gramEnd"/>
      <w:r w:rsidRPr="007D6334">
        <w:rPr>
          <w:b/>
          <w:bCs/>
          <w:rtl/>
          <w:lang w:bidi="ar-EG"/>
        </w:rPr>
        <w:t xml:space="preserve"> أن تكون أماكن الفرز والتدريج تسمح بتواجد العمال بالعدد الكافي لأعمال الفرز.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يجب أن تكون أماكن الصادر مظللة </w:t>
      </w:r>
      <w:proofErr w:type="spellStart"/>
      <w:r w:rsidRPr="007D6334">
        <w:rPr>
          <w:b/>
          <w:bCs/>
          <w:rtl/>
          <w:lang w:bidi="ar-EG"/>
        </w:rPr>
        <w:t>مهواه</w:t>
      </w:r>
      <w:proofErr w:type="spellEnd"/>
      <w:r w:rsidRPr="007D6334">
        <w:rPr>
          <w:b/>
          <w:bCs/>
          <w:rtl/>
          <w:lang w:bidi="ar-EG"/>
        </w:rPr>
        <w:t xml:space="preserve"> أو مبردة والأرضية مبلطة أو مسفلتة مع استخدام </w:t>
      </w:r>
      <w:proofErr w:type="spellStart"/>
      <w:r w:rsidRPr="007D6334">
        <w:rPr>
          <w:b/>
          <w:bCs/>
          <w:rtl/>
          <w:lang w:bidi="ar-EG"/>
        </w:rPr>
        <w:t>بالتات</w:t>
      </w:r>
      <w:proofErr w:type="spellEnd"/>
      <w:r w:rsidRPr="007D6334">
        <w:rPr>
          <w:b/>
          <w:bCs/>
          <w:rtl/>
          <w:lang w:bidi="ar-EG"/>
        </w:rPr>
        <w:t xml:space="preserve"> أو مراتب.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proofErr w:type="gramStart"/>
      <w:r w:rsidRPr="007D6334">
        <w:rPr>
          <w:b/>
          <w:bCs/>
          <w:rtl/>
          <w:lang w:bidi="ar-EG"/>
        </w:rPr>
        <w:t>يجب</w:t>
      </w:r>
      <w:proofErr w:type="gramEnd"/>
      <w:r w:rsidRPr="007D6334">
        <w:rPr>
          <w:b/>
          <w:bCs/>
          <w:rtl/>
          <w:lang w:bidi="ar-EG"/>
        </w:rPr>
        <w:t xml:space="preserve"> أن تكون أماكن الفحص مناسبة ومجهزة بالمناضد والإضاءة الكافية التي تسمح بالفحص مع تواجد المعدات والأدوات اللازمة للفحص.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proofErr w:type="gramStart"/>
      <w:r w:rsidRPr="007D6334">
        <w:rPr>
          <w:b/>
          <w:bCs/>
          <w:rtl/>
          <w:lang w:bidi="ar-EG"/>
        </w:rPr>
        <w:t>يجب</w:t>
      </w:r>
      <w:proofErr w:type="gramEnd"/>
      <w:r w:rsidRPr="007D6334">
        <w:rPr>
          <w:b/>
          <w:bCs/>
          <w:rtl/>
          <w:lang w:bidi="ar-EG"/>
        </w:rPr>
        <w:t xml:space="preserve"> أن يتوافر بالمحطة السجلات الآتية:</w:t>
      </w:r>
    </w:p>
    <w:p w:rsidR="000158D8" w:rsidRPr="007D6334" w:rsidRDefault="007D6334" w:rsidP="00A9594D">
      <w:pPr>
        <w:numPr>
          <w:ilvl w:val="1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دفاتر لتسجيل الخام الوارد طبقاً للنماذج.</w:t>
      </w:r>
    </w:p>
    <w:p w:rsidR="000158D8" w:rsidRPr="007D6334" w:rsidRDefault="007D6334" w:rsidP="00A9594D">
      <w:pPr>
        <w:numPr>
          <w:ilvl w:val="1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دفاتر لتسجيل الصادر.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proofErr w:type="gramStart"/>
      <w:r w:rsidRPr="007D6334">
        <w:rPr>
          <w:b/>
          <w:bCs/>
          <w:rtl/>
          <w:lang w:bidi="ar-EG"/>
        </w:rPr>
        <w:t>يجب</w:t>
      </w:r>
      <w:proofErr w:type="gramEnd"/>
      <w:r w:rsidRPr="007D6334">
        <w:rPr>
          <w:b/>
          <w:bCs/>
          <w:rtl/>
          <w:lang w:bidi="ar-EG"/>
        </w:rPr>
        <w:t xml:space="preserve"> أن يتولى إدارة المحطة مدير فني مسئول ( مهندس زراعي نقابي ) والعمالة يجب أن تكون مدربة علي فرز وتعبئة البطاطس.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proofErr w:type="gramStart"/>
      <w:r w:rsidRPr="007D6334">
        <w:rPr>
          <w:b/>
          <w:bCs/>
          <w:rtl/>
          <w:lang w:bidi="ar-EG"/>
        </w:rPr>
        <w:t>يجب</w:t>
      </w:r>
      <w:proofErr w:type="gramEnd"/>
      <w:r w:rsidRPr="007D6334">
        <w:rPr>
          <w:b/>
          <w:bCs/>
          <w:rtl/>
          <w:lang w:bidi="ar-EG"/>
        </w:rPr>
        <w:t xml:space="preserve"> أن يتوافر استراحة مناسبة للجان الفحص ( الرقابة علي الصادرات والواردات والحجر الزراعي ) داخل المحطة.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أن تكون المحطة مزودة بميزان </w:t>
      </w:r>
      <w:proofErr w:type="spellStart"/>
      <w:r w:rsidRPr="007D6334">
        <w:rPr>
          <w:b/>
          <w:bCs/>
          <w:rtl/>
          <w:lang w:bidi="ar-EG"/>
        </w:rPr>
        <w:t>بسكول</w:t>
      </w:r>
      <w:proofErr w:type="spellEnd"/>
      <w:r w:rsidRPr="007D6334">
        <w:rPr>
          <w:b/>
          <w:bCs/>
          <w:rtl/>
          <w:lang w:bidi="ar-EG"/>
        </w:rPr>
        <w:t xml:space="preserve"> معتمد ومدموغ.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أن تكون بالمحطة وسائل الاتصال المناسبة.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أن تكون بالمحطة ثلاجة ذات سعة تخزينية مناسبة لطاقة التشغيل بالمحطة، وفي حالة عدم توافر ثلاجة داخل المحطة يكتفي بتقديم عقد تأجير ثلاجة بجانب المحطة.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>أن تكون المحطة منعزلة عن أي مصادر للتلوث.</w:t>
      </w:r>
    </w:p>
    <w:p w:rsidR="000158D8" w:rsidRPr="007D6334" w:rsidRDefault="007D6334" w:rsidP="00A9594D">
      <w:pPr>
        <w:numPr>
          <w:ilvl w:val="0"/>
          <w:numId w:val="1"/>
        </w:numPr>
        <w:bidi/>
        <w:spacing w:after="0"/>
        <w:ind w:hanging="357"/>
        <w:jc w:val="lowKashida"/>
      </w:pPr>
      <w:r w:rsidRPr="007D6334">
        <w:rPr>
          <w:b/>
          <w:bCs/>
          <w:rtl/>
          <w:lang w:bidi="ar-EG"/>
        </w:rPr>
        <w:t xml:space="preserve">أن يتوافر بالمحطة دورات مياه وغرف خلع ملابس وصالة </w:t>
      </w:r>
      <w:proofErr w:type="gramStart"/>
      <w:r w:rsidRPr="007D6334">
        <w:rPr>
          <w:b/>
          <w:bCs/>
          <w:rtl/>
          <w:lang w:bidi="ar-EG"/>
        </w:rPr>
        <w:t>طعام</w:t>
      </w:r>
      <w:proofErr w:type="gramEnd"/>
      <w:r w:rsidRPr="007D6334">
        <w:rPr>
          <w:b/>
          <w:bCs/>
          <w:rtl/>
          <w:lang w:bidi="ar-EG"/>
        </w:rPr>
        <w:t xml:space="preserve"> للعمال تتناسب مع عدد العمالة بالمحطة.</w:t>
      </w:r>
    </w:p>
    <w:p w:rsidR="00F9458D" w:rsidRPr="007D6334" w:rsidRDefault="007D6334" w:rsidP="00A9594D">
      <w:pPr>
        <w:numPr>
          <w:ilvl w:val="0"/>
          <w:numId w:val="2"/>
        </w:numPr>
        <w:bidi/>
        <w:spacing w:after="0"/>
        <w:ind w:hanging="357"/>
        <w:jc w:val="lowKashida"/>
      </w:pPr>
      <w:proofErr w:type="gramStart"/>
      <w:r w:rsidRPr="007D6334">
        <w:rPr>
          <w:b/>
          <w:bCs/>
          <w:u w:val="single"/>
          <w:rtl/>
          <w:lang w:bidi="ar-EG"/>
        </w:rPr>
        <w:t>يتم</w:t>
      </w:r>
      <w:proofErr w:type="gramEnd"/>
      <w:r w:rsidRPr="007D6334">
        <w:rPr>
          <w:b/>
          <w:bCs/>
          <w:u w:val="single"/>
          <w:rtl/>
          <w:lang w:bidi="ar-EG"/>
        </w:rPr>
        <w:t xml:space="preserve"> اعتماد محطات تعبئة البطاطس وفق تلك الشروط عن طريق لجنة مشتركة من الحجر الزراعي والإدارة المركزية للصادرات.</w:t>
      </w:r>
    </w:p>
    <w:sectPr w:rsidR="00F9458D" w:rsidRPr="007D6334" w:rsidSect="00F945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03F"/>
    <w:multiLevelType w:val="hybridMultilevel"/>
    <w:tmpl w:val="E536EFB6"/>
    <w:lvl w:ilvl="0" w:tplc="9792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A680A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624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E2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64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87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4A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4C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0A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25089"/>
    <w:multiLevelType w:val="hybridMultilevel"/>
    <w:tmpl w:val="C13CA470"/>
    <w:lvl w:ilvl="0" w:tplc="C5C24E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60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E62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C2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0C2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8D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0E2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E3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419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D6334"/>
    <w:rsid w:val="000158D8"/>
    <w:rsid w:val="000213AE"/>
    <w:rsid w:val="00050C25"/>
    <w:rsid w:val="000612CE"/>
    <w:rsid w:val="00071075"/>
    <w:rsid w:val="00072BA6"/>
    <w:rsid w:val="000A00AE"/>
    <w:rsid w:val="000D7F8E"/>
    <w:rsid w:val="002C676B"/>
    <w:rsid w:val="003876AC"/>
    <w:rsid w:val="0040183D"/>
    <w:rsid w:val="00404701"/>
    <w:rsid w:val="00427FCF"/>
    <w:rsid w:val="00472555"/>
    <w:rsid w:val="004805D0"/>
    <w:rsid w:val="00496CFD"/>
    <w:rsid w:val="004D2EED"/>
    <w:rsid w:val="004F2BD2"/>
    <w:rsid w:val="0050225A"/>
    <w:rsid w:val="005304DB"/>
    <w:rsid w:val="00580720"/>
    <w:rsid w:val="005C207E"/>
    <w:rsid w:val="005C2E63"/>
    <w:rsid w:val="005E24AE"/>
    <w:rsid w:val="005F0EC0"/>
    <w:rsid w:val="00657A9E"/>
    <w:rsid w:val="00751488"/>
    <w:rsid w:val="007652A1"/>
    <w:rsid w:val="007A1599"/>
    <w:rsid w:val="007B24E4"/>
    <w:rsid w:val="007D5D78"/>
    <w:rsid w:val="007D6334"/>
    <w:rsid w:val="00805EC3"/>
    <w:rsid w:val="008252B4"/>
    <w:rsid w:val="00864D91"/>
    <w:rsid w:val="008A2D48"/>
    <w:rsid w:val="009E24E4"/>
    <w:rsid w:val="009E4013"/>
    <w:rsid w:val="00A64236"/>
    <w:rsid w:val="00A9594D"/>
    <w:rsid w:val="00B5645C"/>
    <w:rsid w:val="00B82D4C"/>
    <w:rsid w:val="00B878E4"/>
    <w:rsid w:val="00BB0B4D"/>
    <w:rsid w:val="00C22FCB"/>
    <w:rsid w:val="00C53DB2"/>
    <w:rsid w:val="00CA6981"/>
    <w:rsid w:val="00CE08BD"/>
    <w:rsid w:val="00CE7065"/>
    <w:rsid w:val="00CF6138"/>
    <w:rsid w:val="00D278E5"/>
    <w:rsid w:val="00D32CE9"/>
    <w:rsid w:val="00D40DFF"/>
    <w:rsid w:val="00D55765"/>
    <w:rsid w:val="00D70FAB"/>
    <w:rsid w:val="00D7582F"/>
    <w:rsid w:val="00DB1D48"/>
    <w:rsid w:val="00DC043E"/>
    <w:rsid w:val="00E35AFC"/>
    <w:rsid w:val="00F1612D"/>
    <w:rsid w:val="00F710FB"/>
    <w:rsid w:val="00F9458D"/>
    <w:rsid w:val="00F97722"/>
    <w:rsid w:val="00FE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1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0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4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18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0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22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99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719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50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9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2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2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4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3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2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7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482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21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0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5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6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7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0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>aec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hhussien</dc:creator>
  <cp:keywords/>
  <dc:description/>
  <cp:lastModifiedBy>hhussien</cp:lastModifiedBy>
  <cp:revision>2</cp:revision>
  <dcterms:created xsi:type="dcterms:W3CDTF">2014-04-17T09:42:00Z</dcterms:created>
  <dcterms:modified xsi:type="dcterms:W3CDTF">2014-04-17T09:42:00Z</dcterms:modified>
</cp:coreProperties>
</file>